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AE41AE" w14:textId="77777777" w:rsidR="00F3275C" w:rsidRDefault="00CA363C">
      <w:pPr>
        <w:jc w:val="center"/>
        <w:rPr>
          <w:rFonts w:hint="eastAsia"/>
        </w:rPr>
      </w:pPr>
      <w:bookmarkStart w:id="0" w:name="__DdeLink__89_490011775"/>
      <w:r>
        <w:rPr>
          <w:b/>
          <w:bCs/>
          <w:color w:val="7E0021"/>
          <w:sz w:val="32"/>
          <w:szCs w:val="32"/>
        </w:rPr>
        <w:t>CIRCUIT DU SCHARRACH</w:t>
      </w:r>
      <w:bookmarkEnd w:id="0"/>
    </w:p>
    <w:p w14:paraId="541A8135" w14:textId="77777777" w:rsidR="00F3275C" w:rsidRDefault="00F3275C">
      <w:pPr>
        <w:jc w:val="both"/>
        <w:rPr>
          <w:rFonts w:hint="eastAsia"/>
        </w:rPr>
      </w:pPr>
    </w:p>
    <w:p w14:paraId="17DBB5A8" w14:textId="77777777" w:rsidR="00F3275C" w:rsidRDefault="00CA363C">
      <w:pPr>
        <w:jc w:val="both"/>
        <w:rPr>
          <w:rFonts w:hint="eastAsia"/>
        </w:rPr>
      </w:pPr>
      <w:r>
        <w:t xml:space="preserve">Anneau jaune - Itinéraire circulaire – Longueur du sentier : 8,7 km – Durée 3h </w:t>
      </w:r>
    </w:p>
    <w:p w14:paraId="62D4BAFB" w14:textId="77777777" w:rsidR="00F3275C" w:rsidRDefault="00F3275C">
      <w:pPr>
        <w:jc w:val="both"/>
        <w:rPr>
          <w:rFonts w:hint="eastAsia"/>
        </w:rPr>
      </w:pPr>
    </w:p>
    <w:p w14:paraId="16161DEE" w14:textId="77777777" w:rsidR="00F3275C" w:rsidRDefault="00CA363C">
      <w:pPr>
        <w:jc w:val="both"/>
        <w:rPr>
          <w:rFonts w:hint="eastAsia"/>
        </w:rPr>
      </w:pPr>
      <w:r>
        <w:rPr>
          <w:b/>
          <w:bCs/>
        </w:rPr>
        <w:t>Départ et départ</w:t>
      </w:r>
    </w:p>
    <w:p w14:paraId="6986F8C4" w14:textId="77777777" w:rsidR="00F3275C" w:rsidRDefault="00CA363C">
      <w:pPr>
        <w:jc w:val="both"/>
        <w:rPr>
          <w:rFonts w:hint="eastAsia"/>
        </w:rPr>
      </w:pPr>
      <w:r>
        <w:t xml:space="preserve">Au parking de l’école primaire de </w:t>
      </w:r>
      <w:bookmarkStart w:id="1" w:name="__DdeLink__21_2550055815"/>
      <w:proofErr w:type="spellStart"/>
      <w:r>
        <w:t>Scharrachbergheim</w:t>
      </w:r>
      <w:bookmarkEnd w:id="1"/>
      <w:proofErr w:type="spellEnd"/>
      <w:r>
        <w:t xml:space="preserve"> et retour cote 178</w:t>
      </w:r>
    </w:p>
    <w:p w14:paraId="7A027814" w14:textId="77777777" w:rsidR="00F3275C" w:rsidRDefault="00F3275C">
      <w:pPr>
        <w:jc w:val="both"/>
        <w:rPr>
          <w:rFonts w:hint="eastAsia"/>
        </w:rPr>
      </w:pPr>
    </w:p>
    <w:p w14:paraId="4BC5814A" w14:textId="77777777" w:rsidR="00F3275C" w:rsidRDefault="00CA363C">
      <w:pPr>
        <w:jc w:val="both"/>
        <w:rPr>
          <w:rFonts w:hint="eastAsia"/>
          <w:b/>
          <w:bCs/>
        </w:rPr>
      </w:pPr>
      <w:r>
        <w:rPr>
          <w:b/>
          <w:bCs/>
        </w:rPr>
        <w:t>Parcours</w:t>
      </w:r>
    </w:p>
    <w:p w14:paraId="72FDCE9E" w14:textId="77777777" w:rsidR="00F3275C" w:rsidRDefault="00CA363C">
      <w:pPr>
        <w:jc w:val="both"/>
        <w:rPr>
          <w:rFonts w:hint="eastAsia"/>
        </w:rPr>
      </w:pPr>
      <w:proofErr w:type="spellStart"/>
      <w:r>
        <w:t>Scharrachbergheim</w:t>
      </w:r>
      <w:proofErr w:type="spellEnd"/>
      <w:r>
        <w:t xml:space="preserve"> &gt; </w:t>
      </w:r>
      <w:proofErr w:type="spellStart"/>
      <w:r>
        <w:t>Irmstett</w:t>
      </w:r>
      <w:proofErr w:type="spellEnd"/>
      <w:r>
        <w:t xml:space="preserve"> &gt; Chapelle &gt; </w:t>
      </w:r>
      <w:r>
        <w:t xml:space="preserve">Départementale D118 &gt; Cote 189 &gt; Cote 226 &gt; Cote 261 &gt; Carrière &gt; Dahlenheim 269 &gt;Le </w:t>
      </w:r>
      <w:proofErr w:type="spellStart"/>
      <w:r>
        <w:t>Scharrach</w:t>
      </w:r>
      <w:proofErr w:type="spellEnd"/>
      <w:r>
        <w:t xml:space="preserve"> &gt; </w:t>
      </w:r>
      <w:proofErr w:type="spellStart"/>
      <w:r>
        <w:t>Scharrachbergheim</w:t>
      </w:r>
      <w:proofErr w:type="spellEnd"/>
      <w:r>
        <w:t xml:space="preserve"> &gt; Église protestante &gt; Cote 221 &gt; Odratzheim &gt; Départementale D225 &gt; </w:t>
      </w:r>
      <w:proofErr w:type="spellStart"/>
      <w:r>
        <w:t>Scharrachbergheim</w:t>
      </w:r>
      <w:proofErr w:type="spellEnd"/>
      <w:r>
        <w:t>.</w:t>
      </w:r>
    </w:p>
    <w:p w14:paraId="0DEC8255" w14:textId="77777777" w:rsidR="00F3275C" w:rsidRDefault="00F3275C">
      <w:pPr>
        <w:jc w:val="both"/>
        <w:rPr>
          <w:rFonts w:hint="eastAsia"/>
          <w:b/>
          <w:bCs/>
        </w:rPr>
      </w:pPr>
    </w:p>
    <w:p w14:paraId="45509EF7" w14:textId="77777777" w:rsidR="00F3275C" w:rsidRDefault="00CA363C">
      <w:pPr>
        <w:jc w:val="both"/>
        <w:rPr>
          <w:rFonts w:hint="eastAsia"/>
          <w:sz w:val="30"/>
          <w:szCs w:val="30"/>
        </w:rPr>
      </w:pPr>
      <w:r>
        <w:rPr>
          <w:b/>
          <w:bCs/>
          <w:sz w:val="30"/>
          <w:szCs w:val="30"/>
        </w:rPr>
        <w:t>Informations sur le circuit</w:t>
      </w:r>
    </w:p>
    <w:p w14:paraId="40EF4A63" w14:textId="77777777" w:rsidR="00F3275C" w:rsidRDefault="00CA363C">
      <w:pPr>
        <w:jc w:val="both"/>
        <w:rPr>
          <w:rFonts w:hint="eastAsia"/>
        </w:rPr>
      </w:pPr>
      <w:r>
        <w:t>Scharrachbergheim-Irmste</w:t>
      </w:r>
      <w:r>
        <w:t xml:space="preserve">tt est un </w:t>
      </w:r>
      <w:r>
        <w:rPr>
          <w:rStyle w:val="Accentuationforte"/>
          <w:b w:val="0"/>
          <w:bCs w:val="0"/>
        </w:rPr>
        <w:t>charmant village viticole</w:t>
      </w:r>
      <w:r>
        <w:rPr>
          <w:rStyle w:val="Accentuationforte"/>
        </w:rPr>
        <w:t xml:space="preserve"> </w:t>
      </w:r>
      <w:r>
        <w:t xml:space="preserve">offrant un cadre de vie paisible et un lieu de départ idéal pour des promenades dans les vignes ou sur </w:t>
      </w:r>
      <w:r>
        <w:rPr>
          <w:rStyle w:val="Accentuationforte"/>
          <w:b w:val="0"/>
          <w:bCs w:val="0"/>
        </w:rPr>
        <w:t xml:space="preserve">le Mont </w:t>
      </w:r>
      <w:proofErr w:type="spellStart"/>
      <w:r>
        <w:rPr>
          <w:rStyle w:val="Accentuationforte"/>
          <w:b w:val="0"/>
          <w:bCs w:val="0"/>
        </w:rPr>
        <w:t>Scharrach</w:t>
      </w:r>
      <w:proofErr w:type="spellEnd"/>
      <w:r>
        <w:rPr>
          <w:rStyle w:val="Accentuationforte"/>
          <w:b w:val="0"/>
          <w:bCs w:val="0"/>
        </w:rPr>
        <w:t>.</w:t>
      </w:r>
      <w:r>
        <w:t xml:space="preserve"> </w:t>
      </w:r>
    </w:p>
    <w:p w14:paraId="37059DF1" w14:textId="77777777" w:rsidR="00F3275C" w:rsidRDefault="00CA363C">
      <w:pPr>
        <w:jc w:val="both"/>
        <w:rPr>
          <w:rFonts w:hint="eastAsia"/>
        </w:rPr>
      </w:pPr>
      <w:bookmarkStart w:id="2" w:name="item_description"/>
      <w:bookmarkEnd w:id="2"/>
      <w:r>
        <w:t xml:space="preserve">Le Mont </w:t>
      </w:r>
      <w:proofErr w:type="spellStart"/>
      <w:r>
        <w:t>Scharrach</w:t>
      </w:r>
      <w:proofErr w:type="spellEnd"/>
      <w:r>
        <w:t xml:space="preserve">, témoin du façonnage des paysages par les activités humaines au fil du temps. </w:t>
      </w:r>
      <w:r>
        <w:br/>
      </w:r>
      <w:r>
        <w:t xml:space="preserve">Le sentier se faufile dans le vignoble et le long de la </w:t>
      </w:r>
      <w:proofErr w:type="spellStart"/>
      <w:r>
        <w:t>Mossig</w:t>
      </w:r>
      <w:proofErr w:type="spellEnd"/>
      <w:r>
        <w:t xml:space="preserve"> </w:t>
      </w:r>
      <w:proofErr w:type="gramStart"/>
      <w:r>
        <w:t>pour  conduire</w:t>
      </w:r>
      <w:proofErr w:type="gramEnd"/>
      <w:r>
        <w:t xml:space="preserve"> jusqu'à la colline du </w:t>
      </w:r>
      <w:proofErr w:type="spellStart"/>
      <w:r>
        <w:t>Scharrachberg</w:t>
      </w:r>
      <w:proofErr w:type="spellEnd"/>
      <w:r>
        <w:t xml:space="preserve">, ou Mont </w:t>
      </w:r>
      <w:proofErr w:type="spellStart"/>
      <w:r>
        <w:t>Scharrach</w:t>
      </w:r>
      <w:proofErr w:type="spellEnd"/>
      <w:r>
        <w:t xml:space="preserve">. </w:t>
      </w:r>
    </w:p>
    <w:p w14:paraId="6D89088E" w14:textId="77777777" w:rsidR="00F3275C" w:rsidRDefault="00F3275C">
      <w:pPr>
        <w:jc w:val="both"/>
        <w:rPr>
          <w:rFonts w:hint="eastAsia"/>
        </w:rPr>
      </w:pPr>
    </w:p>
    <w:p w14:paraId="3D1A1FE7" w14:textId="77777777" w:rsidR="00F3275C" w:rsidRDefault="00CA363C">
      <w:pPr>
        <w:jc w:val="both"/>
        <w:rPr>
          <w:rFonts w:hint="eastAsia"/>
          <w:b/>
          <w:bCs/>
          <w:sz w:val="28"/>
          <w:szCs w:val="28"/>
        </w:rPr>
      </w:pPr>
      <w:r>
        <w:rPr>
          <w:b/>
          <w:bCs/>
          <w:sz w:val="28"/>
          <w:szCs w:val="28"/>
        </w:rPr>
        <w:t>Points remarquables</w:t>
      </w:r>
    </w:p>
    <w:p w14:paraId="2E46C58C" w14:textId="77777777" w:rsidR="00F3275C" w:rsidRDefault="00CA363C">
      <w:pPr>
        <w:jc w:val="both"/>
        <w:rPr>
          <w:rFonts w:hint="eastAsia"/>
        </w:rPr>
      </w:pPr>
      <w:r>
        <w:t xml:space="preserve">Point de vue du </w:t>
      </w:r>
      <w:proofErr w:type="spellStart"/>
      <w:r>
        <w:t>Scharrach</w:t>
      </w:r>
      <w:proofErr w:type="spellEnd"/>
    </w:p>
    <w:p w14:paraId="6C156386" w14:textId="77777777" w:rsidR="00F3275C" w:rsidRDefault="00F3275C">
      <w:pPr>
        <w:jc w:val="both"/>
        <w:rPr>
          <w:rFonts w:hint="eastAsia"/>
        </w:rPr>
      </w:pPr>
    </w:p>
    <w:tbl>
      <w:tblPr>
        <w:tblW w:w="3910" w:type="dxa"/>
        <w:tblInd w:w="3536" w:type="dxa"/>
        <w:tblCellMar>
          <w:left w:w="0" w:type="dxa"/>
          <w:right w:w="0" w:type="dxa"/>
        </w:tblCellMar>
        <w:tblLook w:val="0000" w:firstRow="0" w:lastRow="0" w:firstColumn="0" w:lastColumn="0" w:noHBand="0" w:noVBand="0"/>
      </w:tblPr>
      <w:tblGrid>
        <w:gridCol w:w="3910"/>
      </w:tblGrid>
      <w:tr w:rsidR="00F3275C" w14:paraId="60498EA9" w14:textId="77777777">
        <w:tc>
          <w:tcPr>
            <w:tcW w:w="3910" w:type="dxa"/>
            <w:tcBorders>
              <w:top w:val="single" w:sz="16" w:space="0" w:color="000000"/>
              <w:bottom w:val="single" w:sz="6" w:space="0" w:color="000000"/>
            </w:tcBorders>
            <w:shd w:val="clear" w:color="auto" w:fill="auto"/>
          </w:tcPr>
          <w:p w14:paraId="0B97F974" w14:textId="77777777" w:rsidR="00F3275C" w:rsidRDefault="00CA363C">
            <w:pPr>
              <w:pStyle w:val="Corpsdetexte"/>
              <w:spacing w:before="113" w:after="0" w:line="240" w:lineRule="auto"/>
              <w:ind w:right="493"/>
              <w:rPr>
                <w:rFonts w:ascii="Liberation Sans" w:hAnsi="Liberation Sans" w:hint="eastAsia"/>
                <w:b/>
                <w:bCs/>
                <w:color w:val="C9211E"/>
                <w:sz w:val="28"/>
                <w:szCs w:val="28"/>
              </w:rPr>
            </w:pPr>
            <w:r>
              <w:rPr>
                <w:rFonts w:ascii="Liberation Sans" w:hAnsi="Liberation Sans"/>
                <w:b/>
                <w:bCs/>
                <w:color w:val="C9211E"/>
                <w:sz w:val="28"/>
                <w:szCs w:val="28"/>
              </w:rPr>
              <w:t xml:space="preserve"> SCHARRACHBERGHEIM</w:t>
            </w:r>
          </w:p>
        </w:tc>
      </w:tr>
    </w:tbl>
    <w:p w14:paraId="00F2DA17" w14:textId="77777777" w:rsidR="00F3275C" w:rsidRDefault="00CA363C">
      <w:pPr>
        <w:spacing w:before="113" w:after="142"/>
        <w:jc w:val="both"/>
        <w:rPr>
          <w:rFonts w:hint="eastAsia"/>
        </w:rPr>
      </w:pPr>
      <w:r>
        <w:rPr>
          <w:noProof/>
        </w:rPr>
        <w:drawing>
          <wp:anchor distT="0" distB="0" distL="0" distR="0" simplePos="0" relativeHeight="9" behindDoc="0" locked="0" layoutInCell="1" allowOverlap="1" wp14:anchorId="3E9B0A4F" wp14:editId="5CE74D84">
            <wp:simplePos x="0" y="0"/>
            <wp:positionH relativeFrom="column">
              <wp:posOffset>13335</wp:posOffset>
            </wp:positionH>
            <wp:positionV relativeFrom="paragraph">
              <wp:posOffset>50800</wp:posOffset>
            </wp:positionV>
            <wp:extent cx="1115695" cy="580390"/>
            <wp:effectExtent l="0" t="0" r="0" b="0"/>
            <wp:wrapSquare wrapText="largest"/>
            <wp:docPr id="1"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
                    <pic:cNvPicPr>
                      <a:picLocks noChangeAspect="1" noChangeArrowheads="1"/>
                    </pic:cNvPicPr>
                  </pic:nvPicPr>
                  <pic:blipFill>
                    <a:blip r:embed="rId5"/>
                    <a:stretch>
                      <a:fillRect/>
                    </a:stretch>
                  </pic:blipFill>
                  <pic:spPr bwMode="auto">
                    <a:xfrm>
                      <a:off x="0" y="0"/>
                      <a:ext cx="1115695" cy="580390"/>
                    </a:xfrm>
                    <a:prstGeom prst="rect">
                      <a:avLst/>
                    </a:prstGeom>
                  </pic:spPr>
                </pic:pic>
              </a:graphicData>
            </a:graphic>
          </wp:anchor>
        </w:drawing>
      </w:r>
      <w:r>
        <w:t>Le 1</w:t>
      </w:r>
      <w:r>
        <w:rPr>
          <w:position w:val="8"/>
        </w:rPr>
        <w:t>er</w:t>
      </w:r>
      <w:r>
        <w:t xml:space="preserve"> janvier 1975, la commune d'</w:t>
      </w:r>
      <w:proofErr w:type="spellStart"/>
      <w:r>
        <w:t>Irmstett</w:t>
      </w:r>
      <w:proofErr w:type="spellEnd"/>
      <w:r>
        <w:t xml:space="preserve"> fusionne avec celle de </w:t>
      </w:r>
      <w:proofErr w:type="spellStart"/>
      <w:r>
        <w:t>Scharrachbergheim</w:t>
      </w:r>
      <w:proofErr w:type="spellEnd"/>
      <w:r>
        <w:t xml:space="preserve"> pour devenir Scharrachbergheim-Irmstett. </w:t>
      </w:r>
    </w:p>
    <w:p w14:paraId="7FA55F05" w14:textId="77777777" w:rsidR="00F3275C" w:rsidRDefault="00CA363C">
      <w:pPr>
        <w:pStyle w:val="Corpsdetexte"/>
        <w:spacing w:before="113" w:after="142"/>
        <w:jc w:val="both"/>
        <w:rPr>
          <w:rFonts w:hint="eastAsia"/>
        </w:rPr>
      </w:pPr>
      <w:r>
        <w:t xml:space="preserve">L’histoire du village est étroitement liée à la colline du </w:t>
      </w:r>
      <w:proofErr w:type="spellStart"/>
      <w:r>
        <w:t>Scharrach</w:t>
      </w:r>
      <w:proofErr w:type="spellEnd"/>
      <w:r>
        <w:t xml:space="preserve"> et au château.</w:t>
      </w:r>
    </w:p>
    <w:p w14:paraId="063B4BA4" w14:textId="77777777" w:rsidR="00F3275C" w:rsidRDefault="00CA363C">
      <w:pPr>
        <w:pStyle w:val="Corpsdetexte"/>
        <w:rPr>
          <w:rFonts w:hint="eastAsia"/>
        </w:rPr>
      </w:pPr>
      <w:r>
        <w:t>Les trouvailles de haches de bronze et les relevés t</w:t>
      </w:r>
      <w:r>
        <w:t xml:space="preserve">opographiques de Robert </w:t>
      </w:r>
      <w:proofErr w:type="spellStart"/>
      <w:r>
        <w:t>Forrer</w:t>
      </w:r>
      <w:proofErr w:type="spellEnd"/>
      <w:r>
        <w:t xml:space="preserve">, archéologue du début du XXème siècle, attestent l’occupation du </w:t>
      </w:r>
      <w:proofErr w:type="spellStart"/>
      <w:r>
        <w:t>Scharrachberg</w:t>
      </w:r>
      <w:proofErr w:type="spellEnd"/>
      <w:r>
        <w:t xml:space="preserve"> dès l’époque néolithique.</w:t>
      </w:r>
    </w:p>
    <w:p w14:paraId="2BD18528" w14:textId="77777777" w:rsidR="00F3275C" w:rsidRDefault="00CA363C">
      <w:pPr>
        <w:pStyle w:val="Corpsdetexte"/>
        <w:spacing w:before="113" w:after="142"/>
        <w:jc w:val="both"/>
        <w:rPr>
          <w:rFonts w:hint="eastAsia"/>
        </w:rPr>
      </w:pPr>
      <w:r>
        <w:t xml:space="preserve">Dans un document de 1288, le village apparaît sous le nom de </w:t>
      </w:r>
      <w:proofErr w:type="spellStart"/>
      <w:r>
        <w:rPr>
          <w:i/>
        </w:rPr>
        <w:t>Berchheim</w:t>
      </w:r>
      <w:proofErr w:type="spellEnd"/>
      <w:r>
        <w:t>.</w:t>
      </w:r>
    </w:p>
    <w:p w14:paraId="1FEE1A50" w14:textId="77777777" w:rsidR="00F3275C" w:rsidRDefault="00CA363C">
      <w:pPr>
        <w:pStyle w:val="Corpsdetexte"/>
        <w:spacing w:before="113" w:after="142"/>
        <w:jc w:val="both"/>
        <w:rPr>
          <w:rFonts w:hint="eastAsia"/>
        </w:rPr>
      </w:pPr>
      <w:r>
        <w:t>Autre hypothèse développée par le pasteur George</w:t>
      </w:r>
      <w:r>
        <w:t xml:space="preserve">s Ruch en poste à </w:t>
      </w:r>
      <w:proofErr w:type="spellStart"/>
      <w:r>
        <w:t>Scharrachbergheim</w:t>
      </w:r>
      <w:proofErr w:type="spellEnd"/>
      <w:r>
        <w:t xml:space="preserve"> de 1946 à 1955 :</w:t>
      </w:r>
      <w:r>
        <w:br/>
        <w:t xml:space="preserve">Le nom de </w:t>
      </w:r>
      <w:proofErr w:type="spellStart"/>
      <w:r>
        <w:t>Scharrach</w:t>
      </w:r>
      <w:proofErr w:type="spellEnd"/>
      <w:r>
        <w:t xml:space="preserve"> proviendrait peut-être de l’expression “</w:t>
      </w:r>
      <w:proofErr w:type="spellStart"/>
      <w:r>
        <w:t>drowe</w:t>
      </w:r>
      <w:proofErr w:type="spellEnd"/>
      <w:r>
        <w:t xml:space="preserve"> </w:t>
      </w:r>
      <w:proofErr w:type="spellStart"/>
      <w:r>
        <w:t>am</w:t>
      </w:r>
      <w:proofErr w:type="spellEnd"/>
      <w:r>
        <w:t xml:space="preserve"> </w:t>
      </w:r>
      <w:proofErr w:type="spellStart"/>
      <w:r>
        <w:t>Schurrik</w:t>
      </w:r>
      <w:proofErr w:type="spellEnd"/>
      <w:r>
        <w:t xml:space="preserve">” usitée encore au début du XXème siècle à Dahlenheim, village situé à l’est de la colline du </w:t>
      </w:r>
      <w:proofErr w:type="spellStart"/>
      <w:r>
        <w:t>Scharrach</w:t>
      </w:r>
      <w:proofErr w:type="spellEnd"/>
      <w:r>
        <w:t xml:space="preserve">. </w:t>
      </w:r>
    </w:p>
    <w:p w14:paraId="0C742D2E" w14:textId="77777777" w:rsidR="00F3275C" w:rsidRDefault="00CA363C">
      <w:pPr>
        <w:pStyle w:val="Corpsdetexte"/>
        <w:jc w:val="both"/>
        <w:rPr>
          <w:rFonts w:hint="eastAsia"/>
        </w:rPr>
      </w:pPr>
      <w:r>
        <w:t>Ancien village ayant</w:t>
      </w:r>
      <w:r>
        <w:t xml:space="preserve"> appartenu à la famille des </w:t>
      </w:r>
      <w:proofErr w:type="spellStart"/>
      <w:r>
        <w:t>Géroldseck</w:t>
      </w:r>
      <w:proofErr w:type="spellEnd"/>
      <w:r>
        <w:t xml:space="preserve"> jusqu'en 1390, puis à la famille d'</w:t>
      </w:r>
      <w:proofErr w:type="spellStart"/>
      <w:r>
        <w:t>Ochsenstein</w:t>
      </w:r>
      <w:proofErr w:type="spellEnd"/>
      <w:r>
        <w:t xml:space="preserve">. Les seigneurs de </w:t>
      </w:r>
      <w:proofErr w:type="spellStart"/>
      <w:r>
        <w:t>Scharroch</w:t>
      </w:r>
      <w:proofErr w:type="spellEnd"/>
      <w:r>
        <w:t xml:space="preserve"> qui donnèrent leur nom à la cité tinrent </w:t>
      </w:r>
      <w:proofErr w:type="spellStart"/>
      <w:r>
        <w:t>Scharrachbergheim</w:t>
      </w:r>
      <w:proofErr w:type="spellEnd"/>
      <w:r>
        <w:t xml:space="preserve"> en fief jusqu'en 1454. Le château primitif, situé au sommet du </w:t>
      </w:r>
      <w:proofErr w:type="spellStart"/>
      <w:r>
        <w:t>Scharrachberg</w:t>
      </w:r>
      <w:proofErr w:type="spellEnd"/>
      <w:r>
        <w:t xml:space="preserve"> a été </w:t>
      </w:r>
      <w:r>
        <w:t>pillé par les Armagnacs en 1444.</w:t>
      </w:r>
    </w:p>
    <w:p w14:paraId="5FF60770" w14:textId="77777777" w:rsidR="00F3275C" w:rsidRDefault="00CA363C">
      <w:pPr>
        <w:pStyle w:val="Corpsdetexte"/>
        <w:jc w:val="both"/>
        <w:rPr>
          <w:rFonts w:hint="eastAsia"/>
        </w:rPr>
      </w:pPr>
      <w:r>
        <w:t xml:space="preserve">Réformé en 1538, le village devient protestant avec </w:t>
      </w:r>
      <w:proofErr w:type="spellStart"/>
      <w:r>
        <w:t>Irmsett</w:t>
      </w:r>
      <w:proofErr w:type="spellEnd"/>
      <w:r>
        <w:t xml:space="preserve"> comme annexe. Les catholiques dépendaient de la paroisse de Dahlenheim.</w:t>
      </w:r>
    </w:p>
    <w:p w14:paraId="7C8849B2" w14:textId="77777777" w:rsidR="00F3275C" w:rsidRDefault="00F3275C">
      <w:pPr>
        <w:pStyle w:val="Titre2"/>
        <w:numPr>
          <w:ilvl w:val="1"/>
          <w:numId w:val="2"/>
        </w:numPr>
        <w:jc w:val="both"/>
        <w:rPr>
          <w:rFonts w:hint="eastAsia"/>
          <w:sz w:val="26"/>
          <w:szCs w:val="26"/>
        </w:rPr>
      </w:pPr>
    </w:p>
    <w:p w14:paraId="13803517" w14:textId="77777777" w:rsidR="00F3275C" w:rsidRDefault="00CA363C">
      <w:pPr>
        <w:pStyle w:val="Titre2"/>
        <w:numPr>
          <w:ilvl w:val="1"/>
          <w:numId w:val="2"/>
        </w:numPr>
        <w:jc w:val="both"/>
        <w:rPr>
          <w:rFonts w:hint="eastAsia"/>
          <w:sz w:val="26"/>
          <w:szCs w:val="26"/>
        </w:rPr>
      </w:pPr>
      <w:bookmarkStart w:id="3" w:name="Le_manoir"/>
      <w:bookmarkEnd w:id="3"/>
      <w:r>
        <w:rPr>
          <w:sz w:val="26"/>
          <w:szCs w:val="26"/>
        </w:rPr>
        <w:t>Le manoir</w:t>
      </w:r>
    </w:p>
    <w:p w14:paraId="38817DE9" w14:textId="77777777" w:rsidR="00F3275C" w:rsidRDefault="00CA363C">
      <w:pPr>
        <w:pStyle w:val="Corpsdetexte"/>
        <w:jc w:val="both"/>
        <w:rPr>
          <w:rFonts w:hint="eastAsia"/>
        </w:rPr>
      </w:pPr>
      <w:r>
        <w:rPr>
          <w:noProof/>
        </w:rPr>
        <w:lastRenderedPageBreak/>
        <w:drawing>
          <wp:anchor distT="0" distB="0" distL="0" distR="0" simplePos="0" relativeHeight="3" behindDoc="0" locked="0" layoutInCell="1" allowOverlap="1" wp14:anchorId="3095B279" wp14:editId="79EC868C">
            <wp:simplePos x="0" y="0"/>
            <wp:positionH relativeFrom="column">
              <wp:posOffset>29845</wp:posOffset>
            </wp:positionH>
            <wp:positionV relativeFrom="paragraph">
              <wp:posOffset>-5080</wp:posOffset>
            </wp:positionV>
            <wp:extent cx="1443990" cy="1053465"/>
            <wp:effectExtent l="0" t="0" r="0" b="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6"/>
                    <a:stretch>
                      <a:fillRect/>
                    </a:stretch>
                  </pic:blipFill>
                  <pic:spPr bwMode="auto">
                    <a:xfrm>
                      <a:off x="0" y="0"/>
                      <a:ext cx="1443990" cy="1053465"/>
                    </a:xfrm>
                    <a:prstGeom prst="rect">
                      <a:avLst/>
                    </a:prstGeom>
                    <a:ln w="7620">
                      <a:solidFill>
                        <a:srgbClr val="000080"/>
                      </a:solidFill>
                    </a:ln>
                  </pic:spPr>
                </pic:pic>
              </a:graphicData>
            </a:graphic>
          </wp:anchor>
        </w:drawing>
      </w:r>
      <w:r>
        <w:t>Le manoir fur construit vers 1770, en 1947 son propriétaire l'a remis à la Fédé</w:t>
      </w:r>
      <w:r>
        <w:t>ration de Charité qui y a installé des enfants. En 1961 le manoir est devenu un institut médico-pédagogique.</w:t>
      </w:r>
    </w:p>
    <w:p w14:paraId="5AC82338" w14:textId="77777777" w:rsidR="00F3275C" w:rsidRDefault="00CA363C">
      <w:pPr>
        <w:pStyle w:val="Corpsdetexte"/>
        <w:rPr>
          <w:rFonts w:hint="eastAsia"/>
        </w:rPr>
      </w:pPr>
      <w:r>
        <w:t xml:space="preserve"> </w:t>
      </w:r>
    </w:p>
    <w:p w14:paraId="4AFBF170" w14:textId="77777777" w:rsidR="00F3275C" w:rsidRDefault="00F3275C">
      <w:pPr>
        <w:pStyle w:val="Titre2"/>
        <w:numPr>
          <w:ilvl w:val="1"/>
          <w:numId w:val="2"/>
        </w:numPr>
        <w:rPr>
          <w:rFonts w:hint="eastAsia"/>
          <w:sz w:val="26"/>
          <w:szCs w:val="26"/>
        </w:rPr>
      </w:pPr>
    </w:p>
    <w:p w14:paraId="3E6A2436" w14:textId="77777777" w:rsidR="00F3275C" w:rsidRDefault="00CA363C">
      <w:pPr>
        <w:pStyle w:val="Titre2"/>
        <w:numPr>
          <w:ilvl w:val="1"/>
          <w:numId w:val="2"/>
        </w:numPr>
        <w:spacing w:before="0" w:after="119"/>
        <w:rPr>
          <w:rFonts w:hint="eastAsia"/>
        </w:rPr>
      </w:pPr>
      <w:bookmarkStart w:id="4" w:name="La_gare"/>
      <w:bookmarkEnd w:id="4"/>
      <w:r>
        <w:rPr>
          <w:sz w:val="26"/>
          <w:szCs w:val="26"/>
        </w:rPr>
        <w:t>La gare</w:t>
      </w:r>
    </w:p>
    <w:p w14:paraId="08FC133F" w14:textId="77777777" w:rsidR="00F3275C" w:rsidRDefault="00CA363C">
      <w:pPr>
        <w:pStyle w:val="Corpsdetexte"/>
        <w:jc w:val="both"/>
        <w:rPr>
          <w:rFonts w:hint="eastAsia"/>
        </w:rPr>
      </w:pPr>
      <w:r>
        <w:rPr>
          <w:noProof/>
        </w:rPr>
        <w:drawing>
          <wp:anchor distT="0" distB="0" distL="0" distR="0" simplePos="0" relativeHeight="4" behindDoc="0" locked="0" layoutInCell="1" allowOverlap="1" wp14:anchorId="01F2AAB7" wp14:editId="558BD9B7">
            <wp:simplePos x="0" y="0"/>
            <wp:positionH relativeFrom="column">
              <wp:posOffset>23495</wp:posOffset>
            </wp:positionH>
            <wp:positionV relativeFrom="paragraph">
              <wp:posOffset>-9525</wp:posOffset>
            </wp:positionV>
            <wp:extent cx="1360170" cy="969645"/>
            <wp:effectExtent l="0" t="0" r="0" b="0"/>
            <wp:wrapSquare wrapText="largest"/>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7"/>
                    <a:stretch>
                      <a:fillRect/>
                    </a:stretch>
                  </pic:blipFill>
                  <pic:spPr bwMode="auto">
                    <a:xfrm>
                      <a:off x="0" y="0"/>
                      <a:ext cx="1360170" cy="969645"/>
                    </a:xfrm>
                    <a:prstGeom prst="rect">
                      <a:avLst/>
                    </a:prstGeom>
                    <a:ln w="7620">
                      <a:solidFill>
                        <a:srgbClr val="000080"/>
                      </a:solidFill>
                    </a:ln>
                  </pic:spPr>
                </pic:pic>
              </a:graphicData>
            </a:graphic>
          </wp:anchor>
        </w:drawing>
      </w:r>
      <w:r>
        <w:t xml:space="preserve">La gare de </w:t>
      </w:r>
      <w:proofErr w:type="spellStart"/>
      <w:r>
        <w:t>Scharrachbergheim</w:t>
      </w:r>
      <w:proofErr w:type="spellEnd"/>
      <w:r>
        <w:t xml:space="preserve"> fut utilisée jusque dans les années 1980. Vers la fin, il y passait encore un train de marchandise assuran</w:t>
      </w:r>
      <w:r>
        <w:t>t la liaison Molsheim - Romanswiller. Le train passait deux fois par jour, le premier passage se faisait entre 12 h 45 et 13 h, le deuxième passage se faisait entre 14 h 45 et 15 h.</w:t>
      </w:r>
    </w:p>
    <w:p w14:paraId="497B1361" w14:textId="77777777" w:rsidR="00F3275C" w:rsidRDefault="00CA363C">
      <w:pPr>
        <w:pStyle w:val="Corpsdetexte"/>
        <w:rPr>
          <w:rFonts w:hint="eastAsia"/>
        </w:rPr>
      </w:pPr>
      <w:r>
        <w:t>La gare fut rénovée dans les années 2000 et sert maintenant d'appartements</w:t>
      </w:r>
      <w:r>
        <w:t>.</w:t>
      </w:r>
    </w:p>
    <w:p w14:paraId="11A3529F" w14:textId="77777777" w:rsidR="00F3275C" w:rsidRDefault="00CA363C">
      <w:pPr>
        <w:pStyle w:val="Titre2"/>
        <w:numPr>
          <w:ilvl w:val="1"/>
          <w:numId w:val="2"/>
        </w:numPr>
        <w:rPr>
          <w:rFonts w:hint="eastAsia"/>
          <w:sz w:val="24"/>
          <w:szCs w:val="24"/>
        </w:rPr>
      </w:pPr>
      <w:bookmarkStart w:id="5" w:name="Le_ch%252525252525252525C3%2525252525252"/>
      <w:bookmarkStart w:id="6" w:name="Le_ch.C3.A2teau"/>
      <w:bookmarkEnd w:id="5"/>
      <w:bookmarkEnd w:id="6"/>
      <w:r>
        <w:rPr>
          <w:sz w:val="26"/>
          <w:szCs w:val="26"/>
        </w:rPr>
        <w:t>Le château</w:t>
      </w:r>
    </w:p>
    <w:p w14:paraId="41A56432" w14:textId="77777777" w:rsidR="00F3275C" w:rsidRDefault="00CA363C">
      <w:pPr>
        <w:pStyle w:val="Corpsdetexte"/>
        <w:jc w:val="both"/>
        <w:rPr>
          <w:rFonts w:hint="eastAsia"/>
        </w:rPr>
      </w:pPr>
      <w:r>
        <w:rPr>
          <w:noProof/>
        </w:rPr>
        <w:drawing>
          <wp:anchor distT="0" distB="0" distL="0" distR="0" simplePos="0" relativeHeight="2" behindDoc="0" locked="0" layoutInCell="1" allowOverlap="1" wp14:anchorId="712C13E7" wp14:editId="43046E44">
            <wp:simplePos x="0" y="0"/>
            <wp:positionH relativeFrom="column">
              <wp:posOffset>36195</wp:posOffset>
            </wp:positionH>
            <wp:positionV relativeFrom="paragraph">
              <wp:posOffset>-3175</wp:posOffset>
            </wp:positionV>
            <wp:extent cx="1520825" cy="1146810"/>
            <wp:effectExtent l="0" t="0" r="0" b="0"/>
            <wp:wrapSquare wrapText="largest"/>
            <wp:docPr id="4"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
                    <pic:cNvPicPr>
                      <a:picLocks noChangeAspect="1" noChangeArrowheads="1"/>
                    </pic:cNvPicPr>
                  </pic:nvPicPr>
                  <pic:blipFill>
                    <a:blip r:embed="rId8"/>
                    <a:stretch>
                      <a:fillRect/>
                    </a:stretch>
                  </pic:blipFill>
                  <pic:spPr bwMode="auto">
                    <a:xfrm>
                      <a:off x="0" y="0"/>
                      <a:ext cx="1520825" cy="1146810"/>
                    </a:xfrm>
                    <a:prstGeom prst="rect">
                      <a:avLst/>
                    </a:prstGeom>
                    <a:ln w="7620">
                      <a:solidFill>
                        <a:srgbClr val="000080"/>
                      </a:solidFill>
                    </a:ln>
                  </pic:spPr>
                </pic:pic>
              </a:graphicData>
            </a:graphic>
          </wp:anchor>
        </w:drawing>
      </w:r>
      <w:r>
        <w:t xml:space="preserve">Du château construit au </w:t>
      </w:r>
      <w:proofErr w:type="spellStart"/>
      <w:r>
        <w:t>Scharrach</w:t>
      </w:r>
      <w:proofErr w:type="spellEnd"/>
      <w:r>
        <w:t>, on ne connaît aucun renseignement si ce n’est sa destruction au XVème siècle par les troupes de Strasbourg qui voulaient chasser les Armagnacs, soldats du futur roi de France Louis XI, qui avaient investi le</w:t>
      </w:r>
      <w:r>
        <w:t xml:space="preserve"> château.</w:t>
      </w:r>
    </w:p>
    <w:p w14:paraId="0101A21E" w14:textId="77777777" w:rsidR="00F3275C" w:rsidRDefault="00CA363C">
      <w:pPr>
        <w:pStyle w:val="Corpsdetexte"/>
        <w:jc w:val="both"/>
        <w:rPr>
          <w:rFonts w:hint="eastAsia"/>
        </w:rPr>
      </w:pPr>
      <w:r>
        <w:t xml:space="preserve">En 1460, à la mort de Jean de </w:t>
      </w:r>
      <w:proofErr w:type="spellStart"/>
      <w:r>
        <w:t>Scharrach</w:t>
      </w:r>
      <w:proofErr w:type="spellEnd"/>
      <w:r>
        <w:t xml:space="preserve">, la descendance mâle de la famille de </w:t>
      </w:r>
      <w:proofErr w:type="spellStart"/>
      <w:r>
        <w:t>Scharrach</w:t>
      </w:r>
      <w:proofErr w:type="spellEnd"/>
      <w:r>
        <w:t xml:space="preserve"> s’éteint. Agnès de </w:t>
      </w:r>
      <w:proofErr w:type="spellStart"/>
      <w:r>
        <w:t>Scharrach</w:t>
      </w:r>
      <w:proofErr w:type="spellEnd"/>
      <w:r>
        <w:t xml:space="preserve">, la fille, épouse un noble du pays de Württemberg, </w:t>
      </w:r>
      <w:proofErr w:type="spellStart"/>
      <w:r>
        <w:t>Meinlach</w:t>
      </w:r>
      <w:proofErr w:type="spellEnd"/>
      <w:r>
        <w:t xml:space="preserve"> de </w:t>
      </w:r>
      <w:proofErr w:type="spellStart"/>
      <w:r>
        <w:t>Dettlingen</w:t>
      </w:r>
      <w:proofErr w:type="spellEnd"/>
      <w:r>
        <w:t>.</w:t>
      </w:r>
    </w:p>
    <w:p w14:paraId="36B5051B" w14:textId="77777777" w:rsidR="00F3275C" w:rsidRDefault="00CA363C">
      <w:pPr>
        <w:pStyle w:val="Corpsdetexte"/>
        <w:jc w:val="both"/>
        <w:rPr>
          <w:rFonts w:hint="eastAsia"/>
        </w:rPr>
      </w:pPr>
      <w:r>
        <w:t xml:space="preserve">Ce sont probablement les </w:t>
      </w:r>
      <w:proofErr w:type="spellStart"/>
      <w:r>
        <w:t>Dettlingen</w:t>
      </w:r>
      <w:proofErr w:type="spellEnd"/>
      <w:r>
        <w:t xml:space="preserve"> qui feront édifier</w:t>
      </w:r>
      <w:r>
        <w:t xml:space="preserve"> ce nouveau manoir féodal au nord-est du village. C’est un château à douves ou “</w:t>
      </w:r>
      <w:proofErr w:type="spellStart"/>
      <w:r>
        <w:t>Wasserschloss</w:t>
      </w:r>
      <w:proofErr w:type="spellEnd"/>
      <w:r>
        <w:t xml:space="preserve">”. L’eau des fossés provient des sources proches. </w:t>
      </w:r>
    </w:p>
    <w:p w14:paraId="5991BD17" w14:textId="77777777" w:rsidR="00F3275C" w:rsidRDefault="00CA363C">
      <w:pPr>
        <w:pStyle w:val="Titre2"/>
        <w:numPr>
          <w:ilvl w:val="1"/>
          <w:numId w:val="2"/>
        </w:numPr>
        <w:rPr>
          <w:rFonts w:hint="eastAsia"/>
          <w:sz w:val="24"/>
          <w:szCs w:val="24"/>
        </w:rPr>
      </w:pPr>
      <w:bookmarkStart w:id="7" w:name="Cave_dimi%252525252525252525C3%252525252"/>
      <w:bookmarkStart w:id="8" w:name="Cave_dimi.C3.A8re"/>
      <w:bookmarkEnd w:id="7"/>
      <w:bookmarkEnd w:id="8"/>
      <w:r>
        <w:rPr>
          <w:sz w:val="26"/>
          <w:szCs w:val="26"/>
        </w:rPr>
        <w:t xml:space="preserve">Cave </w:t>
      </w:r>
      <w:proofErr w:type="spellStart"/>
      <w:r>
        <w:rPr>
          <w:sz w:val="26"/>
          <w:szCs w:val="26"/>
        </w:rPr>
        <w:t>dimière</w:t>
      </w:r>
      <w:proofErr w:type="spellEnd"/>
    </w:p>
    <w:p w14:paraId="47101052" w14:textId="77777777" w:rsidR="00F3275C" w:rsidRDefault="00CA363C">
      <w:pPr>
        <w:pStyle w:val="Corpsdetexte"/>
        <w:jc w:val="both"/>
        <w:rPr>
          <w:rFonts w:hint="eastAsia"/>
        </w:rPr>
      </w:pPr>
      <w:r>
        <w:rPr>
          <w:noProof/>
        </w:rPr>
        <w:drawing>
          <wp:anchor distT="0" distB="0" distL="0" distR="0" simplePos="0" relativeHeight="5" behindDoc="0" locked="0" layoutInCell="1" allowOverlap="1" wp14:anchorId="1C070F88" wp14:editId="55EB8C4D">
            <wp:simplePos x="0" y="0"/>
            <wp:positionH relativeFrom="column">
              <wp:posOffset>-11430</wp:posOffset>
            </wp:positionH>
            <wp:positionV relativeFrom="paragraph">
              <wp:posOffset>-1905</wp:posOffset>
            </wp:positionV>
            <wp:extent cx="744855" cy="1029970"/>
            <wp:effectExtent l="0" t="0" r="0" b="0"/>
            <wp:wrapSquare wrapText="largest"/>
            <wp:docPr id="5"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
                    <pic:cNvPicPr>
                      <a:picLocks noChangeAspect="1" noChangeArrowheads="1"/>
                    </pic:cNvPicPr>
                  </pic:nvPicPr>
                  <pic:blipFill>
                    <a:blip r:embed="rId9"/>
                    <a:stretch>
                      <a:fillRect/>
                    </a:stretch>
                  </pic:blipFill>
                  <pic:spPr bwMode="auto">
                    <a:xfrm>
                      <a:off x="0" y="0"/>
                      <a:ext cx="744855" cy="1029970"/>
                    </a:xfrm>
                    <a:prstGeom prst="rect">
                      <a:avLst/>
                    </a:prstGeom>
                    <a:ln w="7620">
                      <a:solidFill>
                        <a:srgbClr val="000080"/>
                      </a:solidFill>
                    </a:ln>
                  </pic:spPr>
                </pic:pic>
              </a:graphicData>
            </a:graphic>
          </wp:anchor>
        </w:drawing>
      </w:r>
      <w:r>
        <w:t xml:space="preserve">Cette maison alsacienne près de l'église protestante possède une grande et haute cave. Autrefois, </w:t>
      </w:r>
      <w:r>
        <w:t xml:space="preserve">les gens y apportaient la dixième partie de </w:t>
      </w:r>
      <w:proofErr w:type="gramStart"/>
      <w:r>
        <w:t>leur récoltes</w:t>
      </w:r>
      <w:proofErr w:type="gramEnd"/>
      <w:r>
        <w:t>.</w:t>
      </w:r>
    </w:p>
    <w:p w14:paraId="4E4EE205" w14:textId="77777777" w:rsidR="00F3275C" w:rsidRDefault="00CA363C">
      <w:pPr>
        <w:pStyle w:val="Corpsdetexte"/>
        <w:rPr>
          <w:rFonts w:hint="eastAsia"/>
        </w:rPr>
      </w:pPr>
      <w:r>
        <w:t xml:space="preserve"> </w:t>
      </w:r>
    </w:p>
    <w:p w14:paraId="4341B78D" w14:textId="77777777" w:rsidR="00F3275C" w:rsidRDefault="00F3275C">
      <w:pPr>
        <w:pStyle w:val="Corpsdetexte"/>
        <w:rPr>
          <w:rFonts w:hint="eastAsia"/>
        </w:rPr>
      </w:pPr>
    </w:p>
    <w:p w14:paraId="4B2B7EFA" w14:textId="77777777" w:rsidR="00F3275C" w:rsidRDefault="00CA363C">
      <w:pPr>
        <w:pStyle w:val="Titre2"/>
        <w:numPr>
          <w:ilvl w:val="1"/>
          <w:numId w:val="2"/>
        </w:numPr>
        <w:spacing w:before="0" w:after="119"/>
        <w:rPr>
          <w:rFonts w:hint="eastAsia"/>
        </w:rPr>
      </w:pPr>
      <w:bookmarkStart w:id="9" w:name="L%252525252525252525E2%25252525252525252"/>
      <w:bookmarkStart w:id="10" w:name="L.E2.80.99.C3.A9glise_catholique"/>
      <w:bookmarkEnd w:id="9"/>
      <w:bookmarkEnd w:id="10"/>
      <w:r>
        <w:rPr>
          <w:sz w:val="26"/>
          <w:szCs w:val="26"/>
        </w:rPr>
        <w:t>L’église catholique</w:t>
      </w:r>
    </w:p>
    <w:p w14:paraId="5EB32618" w14:textId="77777777" w:rsidR="00F3275C" w:rsidRDefault="00CA363C">
      <w:pPr>
        <w:pStyle w:val="Corpsdetexte"/>
        <w:jc w:val="both"/>
        <w:rPr>
          <w:rFonts w:hint="eastAsia"/>
        </w:rPr>
      </w:pPr>
      <w:r>
        <w:rPr>
          <w:noProof/>
        </w:rPr>
        <w:drawing>
          <wp:anchor distT="0" distB="0" distL="0" distR="0" simplePos="0" relativeHeight="6" behindDoc="0" locked="0" layoutInCell="1" allowOverlap="1" wp14:anchorId="48725325" wp14:editId="64EC7EDE">
            <wp:simplePos x="0" y="0"/>
            <wp:positionH relativeFrom="column">
              <wp:posOffset>-6985</wp:posOffset>
            </wp:positionH>
            <wp:positionV relativeFrom="paragraph">
              <wp:posOffset>-15240</wp:posOffset>
            </wp:positionV>
            <wp:extent cx="861695" cy="1051560"/>
            <wp:effectExtent l="0" t="0" r="0" b="0"/>
            <wp:wrapSquare wrapText="largest"/>
            <wp:docPr id="6"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
                    <pic:cNvPicPr>
                      <a:picLocks noChangeAspect="1" noChangeArrowheads="1"/>
                    </pic:cNvPicPr>
                  </pic:nvPicPr>
                  <pic:blipFill>
                    <a:blip r:embed="rId10"/>
                    <a:stretch>
                      <a:fillRect/>
                    </a:stretch>
                  </pic:blipFill>
                  <pic:spPr bwMode="auto">
                    <a:xfrm>
                      <a:off x="0" y="0"/>
                      <a:ext cx="861695" cy="1051560"/>
                    </a:xfrm>
                    <a:prstGeom prst="rect">
                      <a:avLst/>
                    </a:prstGeom>
                    <a:ln w="7620">
                      <a:solidFill>
                        <a:srgbClr val="000080"/>
                      </a:solidFill>
                    </a:ln>
                  </pic:spPr>
                </pic:pic>
              </a:graphicData>
            </a:graphic>
          </wp:anchor>
        </w:drawing>
      </w:r>
      <w:r>
        <w:t>L’église fut construite entre 1893 et 1894, elle est construite en grès rose dans le style gothique.</w:t>
      </w:r>
    </w:p>
    <w:p w14:paraId="19C9486E" w14:textId="77777777" w:rsidR="00F3275C" w:rsidRDefault="00F3275C">
      <w:pPr>
        <w:pStyle w:val="Corpsdetexte"/>
        <w:spacing w:before="180" w:after="180"/>
        <w:ind w:left="707" w:right="180"/>
        <w:rPr>
          <w:rFonts w:hint="eastAsia"/>
        </w:rPr>
      </w:pPr>
    </w:p>
    <w:p w14:paraId="59EC520A" w14:textId="77777777" w:rsidR="00F3275C" w:rsidRDefault="00CA363C">
      <w:pPr>
        <w:pStyle w:val="Titre2"/>
        <w:numPr>
          <w:ilvl w:val="0"/>
          <w:numId w:val="0"/>
        </w:numPr>
        <w:rPr>
          <w:rFonts w:hint="eastAsia"/>
          <w:sz w:val="26"/>
          <w:szCs w:val="26"/>
        </w:rPr>
      </w:pPr>
      <w:r>
        <w:br w:type="page"/>
      </w:r>
    </w:p>
    <w:p w14:paraId="5A143EAB" w14:textId="77777777" w:rsidR="00F3275C" w:rsidRDefault="00CA363C">
      <w:pPr>
        <w:pStyle w:val="Titre2"/>
        <w:numPr>
          <w:ilvl w:val="1"/>
          <w:numId w:val="2"/>
        </w:numPr>
        <w:rPr>
          <w:rFonts w:hint="eastAsia"/>
        </w:rPr>
      </w:pPr>
      <w:bookmarkStart w:id="11" w:name="La_ferme_auberge_du_Scharrach"/>
      <w:bookmarkEnd w:id="11"/>
      <w:r>
        <w:rPr>
          <w:sz w:val="26"/>
          <w:szCs w:val="26"/>
        </w:rPr>
        <w:lastRenderedPageBreak/>
        <w:t xml:space="preserve">La ferme auberge du </w:t>
      </w:r>
      <w:proofErr w:type="spellStart"/>
      <w:r>
        <w:rPr>
          <w:sz w:val="26"/>
          <w:szCs w:val="26"/>
        </w:rPr>
        <w:t>Scharrach</w:t>
      </w:r>
      <w:proofErr w:type="spellEnd"/>
    </w:p>
    <w:p w14:paraId="55B51BAF" w14:textId="77777777" w:rsidR="00F3275C" w:rsidRDefault="00CA363C">
      <w:pPr>
        <w:pStyle w:val="Corpsdetexte"/>
        <w:jc w:val="both"/>
        <w:rPr>
          <w:rFonts w:hint="eastAsia"/>
        </w:rPr>
      </w:pPr>
      <w:r>
        <w:rPr>
          <w:noProof/>
        </w:rPr>
        <w:drawing>
          <wp:anchor distT="0" distB="0" distL="0" distR="0" simplePos="0" relativeHeight="7" behindDoc="0" locked="0" layoutInCell="1" allowOverlap="1" wp14:anchorId="5FCBEEFA" wp14:editId="2D9BCEFA">
            <wp:simplePos x="0" y="0"/>
            <wp:positionH relativeFrom="column">
              <wp:posOffset>42545</wp:posOffset>
            </wp:positionH>
            <wp:positionV relativeFrom="paragraph">
              <wp:posOffset>-24130</wp:posOffset>
            </wp:positionV>
            <wp:extent cx="1400175" cy="939800"/>
            <wp:effectExtent l="0" t="0" r="0" b="0"/>
            <wp:wrapSquare wrapText="largest"/>
            <wp:docPr id="7" name="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
                    <pic:cNvPicPr>
                      <a:picLocks noChangeAspect="1" noChangeArrowheads="1"/>
                    </pic:cNvPicPr>
                  </pic:nvPicPr>
                  <pic:blipFill>
                    <a:blip r:embed="rId11"/>
                    <a:stretch>
                      <a:fillRect/>
                    </a:stretch>
                  </pic:blipFill>
                  <pic:spPr bwMode="auto">
                    <a:xfrm>
                      <a:off x="0" y="0"/>
                      <a:ext cx="1400175" cy="939800"/>
                    </a:xfrm>
                    <a:prstGeom prst="rect">
                      <a:avLst/>
                    </a:prstGeom>
                    <a:ln w="7620">
                      <a:solidFill>
                        <a:srgbClr val="000080"/>
                      </a:solidFill>
                    </a:ln>
                  </pic:spPr>
                </pic:pic>
              </a:graphicData>
            </a:graphic>
          </wp:anchor>
        </w:drawing>
      </w:r>
      <w:r>
        <w:t xml:space="preserve">Cette ancienne auberge fut </w:t>
      </w:r>
      <w:r>
        <w:t xml:space="preserve">détruite pendant la Première Guerre mondiale. Elle fait maintenant place à une grande prairie au sommet du mont </w:t>
      </w:r>
      <w:proofErr w:type="spellStart"/>
      <w:r>
        <w:t>Scharrach</w:t>
      </w:r>
      <w:proofErr w:type="spellEnd"/>
      <w:r>
        <w:t>.</w:t>
      </w:r>
    </w:p>
    <w:p w14:paraId="1FF3E231" w14:textId="77777777" w:rsidR="00F3275C" w:rsidRDefault="00CA363C">
      <w:pPr>
        <w:pStyle w:val="Corpsdetexte"/>
        <w:spacing w:after="0"/>
        <w:rPr>
          <w:rFonts w:hint="eastAsia"/>
        </w:rPr>
      </w:pPr>
      <w:r>
        <w:t xml:space="preserve"> </w:t>
      </w:r>
    </w:p>
    <w:p w14:paraId="6A392E91" w14:textId="77777777" w:rsidR="00F3275C" w:rsidRDefault="00F3275C">
      <w:pPr>
        <w:pStyle w:val="Corpsdetexte"/>
        <w:jc w:val="both"/>
        <w:rPr>
          <w:rFonts w:hint="eastAsia"/>
        </w:rPr>
      </w:pPr>
    </w:p>
    <w:tbl>
      <w:tblPr>
        <w:tblW w:w="1640" w:type="dxa"/>
        <w:tblInd w:w="4356" w:type="dxa"/>
        <w:tblCellMar>
          <w:left w:w="0" w:type="dxa"/>
          <w:right w:w="0" w:type="dxa"/>
        </w:tblCellMar>
        <w:tblLook w:val="0000" w:firstRow="0" w:lastRow="0" w:firstColumn="0" w:lastColumn="0" w:noHBand="0" w:noVBand="0"/>
      </w:tblPr>
      <w:tblGrid>
        <w:gridCol w:w="1640"/>
      </w:tblGrid>
      <w:tr w:rsidR="00F3275C" w14:paraId="0A4C8711" w14:textId="77777777">
        <w:tc>
          <w:tcPr>
            <w:tcW w:w="1640" w:type="dxa"/>
            <w:tcBorders>
              <w:top w:val="single" w:sz="16" w:space="0" w:color="000000"/>
              <w:bottom w:val="single" w:sz="6" w:space="0" w:color="000000"/>
            </w:tcBorders>
            <w:shd w:val="clear" w:color="auto" w:fill="auto"/>
          </w:tcPr>
          <w:p w14:paraId="2EBC566E" w14:textId="77777777" w:rsidR="00F3275C" w:rsidRDefault="00CA363C">
            <w:pPr>
              <w:pStyle w:val="Corpsdetexte"/>
              <w:rPr>
                <w:rFonts w:ascii="Liberation Sans" w:hAnsi="Liberation Sans" w:hint="eastAsia"/>
                <w:b/>
                <w:bCs/>
                <w:caps/>
                <w:color w:val="000000"/>
              </w:rPr>
            </w:pPr>
            <w:r>
              <w:rPr>
                <w:rFonts w:ascii="Liberation Sans" w:hAnsi="Liberation Sans"/>
                <w:b/>
                <w:bCs/>
                <w:caps/>
                <w:color w:val="000000"/>
                <w:sz w:val="28"/>
                <w:szCs w:val="28"/>
              </w:rPr>
              <w:t xml:space="preserve"> </w:t>
            </w:r>
            <w:r>
              <w:rPr>
                <w:rFonts w:ascii="Liberation Sans" w:hAnsi="Liberation Sans"/>
                <w:b/>
                <w:bCs/>
                <w:caps/>
                <w:color w:val="C9211E"/>
                <w:sz w:val="28"/>
                <w:szCs w:val="28"/>
              </w:rPr>
              <w:t>Irmstett</w:t>
            </w:r>
          </w:p>
        </w:tc>
      </w:tr>
    </w:tbl>
    <w:p w14:paraId="34E64722" w14:textId="77777777" w:rsidR="00F3275C" w:rsidRDefault="00CA363C">
      <w:pPr>
        <w:spacing w:before="113" w:after="142"/>
        <w:jc w:val="both"/>
        <w:rPr>
          <w:rFonts w:hint="eastAsia"/>
        </w:rPr>
      </w:pPr>
      <w:r>
        <w:rPr>
          <w:noProof/>
        </w:rPr>
        <w:drawing>
          <wp:anchor distT="0" distB="0" distL="0" distR="0" simplePos="0" relativeHeight="10" behindDoc="0" locked="0" layoutInCell="1" allowOverlap="1" wp14:anchorId="4D6024B6" wp14:editId="7C6D366D">
            <wp:simplePos x="0" y="0"/>
            <wp:positionH relativeFrom="column">
              <wp:posOffset>13335</wp:posOffset>
            </wp:positionH>
            <wp:positionV relativeFrom="paragraph">
              <wp:posOffset>50800</wp:posOffset>
            </wp:positionV>
            <wp:extent cx="1115695" cy="694055"/>
            <wp:effectExtent l="0" t="0" r="0" b="0"/>
            <wp:wrapSquare wrapText="largest"/>
            <wp:docPr id="8"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0"/>
                    <pic:cNvPicPr>
                      <a:picLocks noChangeAspect="1" noChangeArrowheads="1"/>
                    </pic:cNvPicPr>
                  </pic:nvPicPr>
                  <pic:blipFill>
                    <a:blip r:embed="rId5"/>
                    <a:stretch>
                      <a:fillRect/>
                    </a:stretch>
                  </pic:blipFill>
                  <pic:spPr bwMode="auto">
                    <a:xfrm>
                      <a:off x="0" y="0"/>
                      <a:ext cx="1115695" cy="694055"/>
                    </a:xfrm>
                    <a:prstGeom prst="rect">
                      <a:avLst/>
                    </a:prstGeom>
                  </pic:spPr>
                </pic:pic>
              </a:graphicData>
            </a:graphic>
          </wp:anchor>
        </w:drawing>
      </w:r>
      <w:r>
        <w:t>Le 1</w:t>
      </w:r>
      <w:r>
        <w:rPr>
          <w:position w:val="8"/>
        </w:rPr>
        <w:t>er</w:t>
      </w:r>
      <w:r>
        <w:t xml:space="preserve"> janvier 1975, la commune d'</w:t>
      </w:r>
      <w:proofErr w:type="spellStart"/>
      <w:r>
        <w:t>Irmstett</w:t>
      </w:r>
      <w:proofErr w:type="spellEnd"/>
      <w:r>
        <w:t xml:space="preserve"> fusionne avec celle de </w:t>
      </w:r>
      <w:proofErr w:type="spellStart"/>
      <w:r>
        <w:t>Scharrachbergheim</w:t>
      </w:r>
      <w:proofErr w:type="spellEnd"/>
      <w:r>
        <w:t xml:space="preserve"> pour devenir Scharrachbergheim-Irmstett. </w:t>
      </w:r>
    </w:p>
    <w:p w14:paraId="0143A06C" w14:textId="77777777" w:rsidR="00F3275C" w:rsidRDefault="00CA363C">
      <w:pPr>
        <w:spacing w:before="170"/>
        <w:jc w:val="both"/>
        <w:rPr>
          <w:rFonts w:hint="eastAsia"/>
        </w:rPr>
      </w:pPr>
      <w:r>
        <w:t>Le village d'</w:t>
      </w:r>
      <w:proofErr w:type="spellStart"/>
      <w:r>
        <w:t>Irmstett</w:t>
      </w:r>
      <w:proofErr w:type="spellEnd"/>
      <w:r>
        <w:t xml:space="preserve"> se trouve sur le versant est du </w:t>
      </w:r>
      <w:proofErr w:type="spellStart"/>
      <w:r>
        <w:t>Krummberg</w:t>
      </w:r>
      <w:proofErr w:type="spellEnd"/>
      <w:r>
        <w:t xml:space="preserve"> (265 mètres) en contrebas des vignobles du grand cru Altenberg de </w:t>
      </w:r>
      <w:proofErr w:type="spellStart"/>
      <w:r>
        <w:t>Berbie</w:t>
      </w:r>
      <w:r>
        <w:t>ten</w:t>
      </w:r>
      <w:proofErr w:type="spellEnd"/>
      <w:r>
        <w:fldChar w:fldCharType="begin"/>
      </w:r>
      <w:r>
        <w:instrText xml:space="preserve"> HYPERLINK "https://fr.wikipedia.org/wiki/Altenberg-de-bergbieten" \h </w:instrText>
      </w:r>
      <w:r>
        <w:rPr>
          <w:rFonts w:hint="eastAsia"/>
        </w:rPr>
        <w:fldChar w:fldCharType="separate"/>
      </w:r>
      <w:r>
        <w:t xml:space="preserve">. </w:t>
      </w:r>
      <w:r>
        <w:fldChar w:fldCharType="end"/>
      </w:r>
    </w:p>
    <w:p w14:paraId="1A6E0423" w14:textId="77777777" w:rsidR="00F3275C" w:rsidRDefault="00CA363C">
      <w:pPr>
        <w:pStyle w:val="Corpsdetexte"/>
        <w:jc w:val="both"/>
        <w:rPr>
          <w:rFonts w:hint="eastAsia"/>
        </w:rPr>
      </w:pPr>
      <w:r>
        <w:t xml:space="preserve">La fondation légendaire du village est attribuée aux Francs. En 496, ils construisirent château et </w:t>
      </w:r>
      <w:proofErr w:type="spellStart"/>
      <w:r>
        <w:t>colonges</w:t>
      </w:r>
      <w:proofErr w:type="spellEnd"/>
      <w:r>
        <w:t xml:space="preserve"> et érigèrent le “Palais Royal” sur le site de </w:t>
      </w:r>
      <w:proofErr w:type="spellStart"/>
      <w:r>
        <w:t>Kircheim</w:t>
      </w:r>
      <w:proofErr w:type="spellEnd"/>
      <w:r>
        <w:t xml:space="preserve">. Dagobert II, </w:t>
      </w:r>
      <w:r>
        <w:t>qui vécut vers 674, avait une fille du nom d’</w:t>
      </w:r>
      <w:proofErr w:type="spellStart"/>
      <w:r>
        <w:t>Irmina</w:t>
      </w:r>
      <w:proofErr w:type="spellEnd"/>
      <w:r>
        <w:t>. Elle serait la fondatrice d’</w:t>
      </w:r>
      <w:proofErr w:type="spellStart"/>
      <w:r>
        <w:t>Irmstett</w:t>
      </w:r>
      <w:proofErr w:type="spellEnd"/>
      <w:r>
        <w:t xml:space="preserve">. D’après la légende, la pieuse </w:t>
      </w:r>
      <w:proofErr w:type="spellStart"/>
      <w:r>
        <w:t>Irmina</w:t>
      </w:r>
      <w:proofErr w:type="spellEnd"/>
      <w:r>
        <w:t xml:space="preserve"> venait souvent se recueillir dans une grande forêt de chênes où elle fit ériger une petite chapelle. On donna à ce lieu le nom d</w:t>
      </w:r>
      <w:r>
        <w:t>’</w:t>
      </w:r>
      <w:proofErr w:type="spellStart"/>
      <w:r>
        <w:t>Irminastätte</w:t>
      </w:r>
      <w:proofErr w:type="spellEnd"/>
      <w:r>
        <w:t xml:space="preserve">” autour duquel grandit un petit village appelé d’abord </w:t>
      </w:r>
      <w:proofErr w:type="spellStart"/>
      <w:r>
        <w:t>Irmina</w:t>
      </w:r>
      <w:proofErr w:type="spellEnd"/>
      <w:r>
        <w:t xml:space="preserve"> </w:t>
      </w:r>
      <w:proofErr w:type="spellStart"/>
      <w:r>
        <w:t>Stätte</w:t>
      </w:r>
      <w:proofErr w:type="spellEnd"/>
      <w:r>
        <w:t xml:space="preserve"> et plus tard </w:t>
      </w:r>
      <w:proofErr w:type="spellStart"/>
      <w:r>
        <w:t>Irmstett</w:t>
      </w:r>
      <w:proofErr w:type="spellEnd"/>
      <w:r>
        <w:t>.</w:t>
      </w:r>
    </w:p>
    <w:p w14:paraId="09A16F56" w14:textId="77777777" w:rsidR="00F3275C" w:rsidRDefault="00CA363C">
      <w:pPr>
        <w:pStyle w:val="Corpsdetexte"/>
        <w:jc w:val="both"/>
        <w:rPr>
          <w:rFonts w:hint="eastAsia"/>
        </w:rPr>
      </w:pPr>
      <w:r>
        <w:t>L’origine d’</w:t>
      </w:r>
      <w:proofErr w:type="spellStart"/>
      <w:r>
        <w:t>Irmstett</w:t>
      </w:r>
      <w:proofErr w:type="spellEnd"/>
      <w:r>
        <w:t xml:space="preserve"> semblerait remonter à l’époque celte. Un chemin celte passait dans la vallée de la </w:t>
      </w:r>
      <w:proofErr w:type="spellStart"/>
      <w:r>
        <w:t>Mossig</w:t>
      </w:r>
      <w:proofErr w:type="spellEnd"/>
      <w:r>
        <w:t>. L’actuel “</w:t>
      </w:r>
      <w:proofErr w:type="spellStart"/>
      <w:r>
        <w:t>Allmendweg</w:t>
      </w:r>
      <w:proofErr w:type="spellEnd"/>
      <w:r>
        <w:t>” en serait encore</w:t>
      </w:r>
      <w:r>
        <w:t xml:space="preserve"> une partie. Quant au “</w:t>
      </w:r>
      <w:proofErr w:type="spellStart"/>
      <w:r>
        <w:t>Sauerbrunnen</w:t>
      </w:r>
      <w:proofErr w:type="spellEnd"/>
      <w:r>
        <w:t>”, source salée à 200 m au Sud du village, il aurait été un lieu de culte celte. Aujourd’hui, la croix qui se trouve à côté du “</w:t>
      </w:r>
      <w:proofErr w:type="spellStart"/>
      <w:r>
        <w:t>Sauerbrunnen</w:t>
      </w:r>
      <w:proofErr w:type="spellEnd"/>
      <w:r>
        <w:t xml:space="preserve">” rappelle cet ancien site. Ce crucifix est connu, dans la région sous le nom de </w:t>
      </w:r>
      <w:r>
        <w:t xml:space="preserve">“De </w:t>
      </w:r>
      <w:proofErr w:type="spellStart"/>
      <w:r>
        <w:t>dirre</w:t>
      </w:r>
      <w:proofErr w:type="spellEnd"/>
      <w:r>
        <w:t xml:space="preserve"> </w:t>
      </w:r>
      <w:proofErr w:type="spellStart"/>
      <w:r>
        <w:t>Herrgott</w:t>
      </w:r>
      <w:proofErr w:type="spellEnd"/>
      <w:r>
        <w:t>”, le “Christ décharné” autour duquel on construisit une chapelle.</w:t>
      </w:r>
    </w:p>
    <w:p w14:paraId="1138F333" w14:textId="77777777" w:rsidR="00F3275C" w:rsidRDefault="00CA363C">
      <w:pPr>
        <w:pStyle w:val="Corpsdetexte"/>
        <w:jc w:val="both"/>
        <w:rPr>
          <w:rFonts w:hint="eastAsia"/>
        </w:rPr>
      </w:pPr>
      <w:r>
        <w:t>Une légende concernant ce crucifix raconte que lors de l’invasion suédoise (1618-1648), durant laquelle toute l’Alsace fut mise à sac, un lansquenet suédois aperçut une je</w:t>
      </w:r>
      <w:r>
        <w:t>une fille qu’il voulut rattraper. Cette dernière s’enfuit en direction du “</w:t>
      </w:r>
      <w:proofErr w:type="spellStart"/>
      <w:r>
        <w:t>Sauerbrunnen</w:t>
      </w:r>
      <w:proofErr w:type="spellEnd"/>
      <w:r>
        <w:t>” et se cacha dans les roseaux qui l’entouraient. Elle fit le vœu de faire ériger une croix à cet endroit, si elle échappait au soldat. Elle tint promesse et fit don d’u</w:t>
      </w:r>
      <w:r>
        <w:t xml:space="preserve">ne croix en bois. Le </w:t>
      </w:r>
      <w:proofErr w:type="spellStart"/>
      <w:r>
        <w:t>Sauerbrunnen</w:t>
      </w:r>
      <w:proofErr w:type="spellEnd"/>
      <w:r>
        <w:t xml:space="preserve"> devint alors un lieu de pèlerinage pour la population des environs. On lui reconnut des pouvoirs de guérison, notamment de la tuberculose et on lui donna le nom de </w:t>
      </w:r>
      <w:proofErr w:type="spellStart"/>
      <w:r>
        <w:t>Ulrichsbrunnen</w:t>
      </w:r>
      <w:proofErr w:type="spellEnd"/>
      <w:r>
        <w:t>.</w:t>
      </w:r>
    </w:p>
    <w:p w14:paraId="50D6A928" w14:textId="77777777" w:rsidR="00F3275C" w:rsidRDefault="00CA363C">
      <w:pPr>
        <w:pStyle w:val="Corpsdetexte"/>
        <w:jc w:val="both"/>
        <w:rPr>
          <w:rFonts w:hint="eastAsia"/>
        </w:rPr>
      </w:pPr>
      <w:proofErr w:type="spellStart"/>
      <w:r>
        <w:t>Irmstett</w:t>
      </w:r>
      <w:proofErr w:type="spellEnd"/>
      <w:r>
        <w:t xml:space="preserve"> est d’abord propriété royale du p</w:t>
      </w:r>
      <w:r>
        <w:t>alais de Kirchheim. Le village appartient ensuite aux seigneurs d’</w:t>
      </w:r>
      <w:proofErr w:type="spellStart"/>
      <w:r>
        <w:t>Ochsenstein</w:t>
      </w:r>
      <w:proofErr w:type="spellEnd"/>
      <w:r>
        <w:t>, puis par mariage et héritage successifs, aux seigneurs de Bitche-Deux-Ponts, puis aux comtes de Hanau Lichtenberg. Le village avec son ban sera donné en fief à des familles nobl</w:t>
      </w:r>
      <w:r>
        <w:t xml:space="preserve">es de petite condition. Les noms des chevaliers de Balbronn, de </w:t>
      </w:r>
      <w:proofErr w:type="spellStart"/>
      <w:r>
        <w:t>Ramstein</w:t>
      </w:r>
      <w:proofErr w:type="spellEnd"/>
      <w:r>
        <w:t xml:space="preserve">, les Böcklin de </w:t>
      </w:r>
      <w:proofErr w:type="spellStart"/>
      <w:r>
        <w:t>Böcklinsau</w:t>
      </w:r>
      <w:proofErr w:type="spellEnd"/>
      <w:r>
        <w:t xml:space="preserve">, les </w:t>
      </w:r>
      <w:proofErr w:type="spellStart"/>
      <w:r>
        <w:t>Beger</w:t>
      </w:r>
      <w:proofErr w:type="spellEnd"/>
      <w:r>
        <w:t xml:space="preserve"> de Geispolsheim y apparaissent. Jusqu’à la révolution française en 1789, </w:t>
      </w:r>
      <w:proofErr w:type="spellStart"/>
      <w:r>
        <w:t>Irmstett</w:t>
      </w:r>
      <w:proofErr w:type="spellEnd"/>
      <w:r>
        <w:t xml:space="preserve"> appartenait au Comté de Hanau-Lichtenberg et fut ensuite intégr</w:t>
      </w:r>
      <w:r>
        <w:t xml:space="preserve">é au département du Bas-Rhin. En 1791, </w:t>
      </w:r>
      <w:proofErr w:type="spellStart"/>
      <w:r>
        <w:t>Irmstett</w:t>
      </w:r>
      <w:proofErr w:type="spellEnd"/>
      <w:r>
        <w:t xml:space="preserve"> comptait 185 habitants, 142 catholiques et 43 protestants</w:t>
      </w:r>
      <w:hyperlink r:id="rId12" w:anchor="cite_note-2" w:history="1">
        <w:bookmarkStart w:id="12" w:name="cite_ref-2"/>
        <w:bookmarkEnd w:id="12"/>
        <w:r>
          <w:rPr>
            <w:rStyle w:val="LienInternet"/>
          </w:rPr>
          <w:t>2</w:t>
        </w:r>
      </w:hyperlink>
      <w:r>
        <w:t>.</w:t>
      </w:r>
    </w:p>
    <w:p w14:paraId="56243983" w14:textId="77777777" w:rsidR="00F3275C" w:rsidRDefault="00CA363C">
      <w:pPr>
        <w:pStyle w:val="Corpsdetexte"/>
        <w:jc w:val="both"/>
        <w:rPr>
          <w:rFonts w:hint="eastAsia"/>
        </w:rPr>
      </w:pPr>
      <w:r>
        <w:t xml:space="preserve">Le premier conflit mondial a fait perdre six de ses fils à </w:t>
      </w:r>
      <w:proofErr w:type="spellStart"/>
      <w:r>
        <w:t>Irmstett</w:t>
      </w:r>
      <w:proofErr w:type="spellEnd"/>
      <w:r>
        <w:t xml:space="preserve"> tandis que</w:t>
      </w:r>
      <w:r>
        <w:t xml:space="preserve"> le second a fait trois victimes parmi les </w:t>
      </w:r>
      <w:r>
        <w:t>i</w:t>
      </w:r>
      <w:r>
        <w:t>ncorporés de forc</w:t>
      </w:r>
      <w:r>
        <w:t>e</w:t>
      </w:r>
      <w:r>
        <w:t xml:space="preserve"> dans l'armée allemande.</w:t>
      </w:r>
    </w:p>
    <w:p w14:paraId="46BF2DCE" w14:textId="77777777" w:rsidR="00F3275C" w:rsidRDefault="00CA363C">
      <w:pPr>
        <w:pStyle w:val="Corpsdetexte"/>
        <w:jc w:val="both"/>
        <w:rPr>
          <w:rFonts w:hint="eastAsia"/>
          <w:b/>
          <w:bCs/>
        </w:rPr>
      </w:pPr>
      <w:r>
        <w:rPr>
          <w:b/>
          <w:bCs/>
          <w:sz w:val="26"/>
          <w:szCs w:val="26"/>
        </w:rPr>
        <w:t>L’église Saint Ulrich</w:t>
      </w:r>
    </w:p>
    <w:p w14:paraId="2F4D2229" w14:textId="77777777" w:rsidR="00F3275C" w:rsidRDefault="00CA363C">
      <w:pPr>
        <w:jc w:val="both"/>
        <w:rPr>
          <w:rFonts w:hint="eastAsia"/>
          <w:b/>
          <w:bCs/>
        </w:rPr>
      </w:pPr>
      <w:r>
        <w:rPr>
          <w:b/>
          <w:bCs/>
          <w:noProof/>
        </w:rPr>
        <w:lastRenderedPageBreak/>
        <w:drawing>
          <wp:anchor distT="0" distB="0" distL="0" distR="0" simplePos="0" relativeHeight="8" behindDoc="0" locked="0" layoutInCell="1" allowOverlap="1" wp14:anchorId="04CDEB69" wp14:editId="6ACCDFB4">
            <wp:simplePos x="0" y="0"/>
            <wp:positionH relativeFrom="column">
              <wp:posOffset>38735</wp:posOffset>
            </wp:positionH>
            <wp:positionV relativeFrom="paragraph">
              <wp:posOffset>-102235</wp:posOffset>
            </wp:positionV>
            <wp:extent cx="1978660" cy="1483995"/>
            <wp:effectExtent l="0" t="0" r="0" b="0"/>
            <wp:wrapSquare wrapText="largest"/>
            <wp:docPr id="9"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
                    <pic:cNvPicPr>
                      <a:picLocks noChangeAspect="1" noChangeArrowheads="1"/>
                    </pic:cNvPicPr>
                  </pic:nvPicPr>
                  <pic:blipFill>
                    <a:blip r:embed="rId13"/>
                    <a:stretch>
                      <a:fillRect/>
                    </a:stretch>
                  </pic:blipFill>
                  <pic:spPr bwMode="auto">
                    <a:xfrm>
                      <a:off x="0" y="0"/>
                      <a:ext cx="1978660" cy="1483995"/>
                    </a:xfrm>
                    <a:prstGeom prst="rect">
                      <a:avLst/>
                    </a:prstGeom>
                  </pic:spPr>
                </pic:pic>
              </a:graphicData>
            </a:graphic>
          </wp:anchor>
        </w:drawing>
      </w:r>
    </w:p>
    <w:p w14:paraId="3D244F11" w14:textId="77777777" w:rsidR="00F3275C" w:rsidRDefault="00F3275C">
      <w:pPr>
        <w:jc w:val="both"/>
        <w:rPr>
          <w:rFonts w:hint="eastAsia"/>
          <w:b/>
          <w:bCs/>
        </w:rPr>
      </w:pPr>
    </w:p>
    <w:p w14:paraId="34FA26A7" w14:textId="77777777" w:rsidR="00F3275C" w:rsidRDefault="00F3275C">
      <w:pPr>
        <w:jc w:val="both"/>
        <w:rPr>
          <w:rFonts w:hint="eastAsia"/>
          <w:b/>
          <w:bCs/>
        </w:rPr>
      </w:pPr>
    </w:p>
    <w:p w14:paraId="7BA9A896" w14:textId="77777777" w:rsidR="00F3275C" w:rsidRDefault="00F3275C">
      <w:pPr>
        <w:jc w:val="both"/>
        <w:rPr>
          <w:rFonts w:hint="eastAsia"/>
          <w:b/>
          <w:bCs/>
        </w:rPr>
      </w:pPr>
    </w:p>
    <w:p w14:paraId="36B56D1E" w14:textId="77777777" w:rsidR="00F3275C" w:rsidRDefault="00F3275C">
      <w:pPr>
        <w:jc w:val="both"/>
        <w:rPr>
          <w:rFonts w:hint="eastAsia"/>
          <w:b/>
          <w:bCs/>
        </w:rPr>
      </w:pPr>
    </w:p>
    <w:p w14:paraId="6927DDA8" w14:textId="77777777" w:rsidR="00F3275C" w:rsidRDefault="00F3275C">
      <w:pPr>
        <w:jc w:val="both"/>
        <w:rPr>
          <w:rFonts w:hint="eastAsia"/>
          <w:b/>
          <w:bCs/>
        </w:rPr>
      </w:pPr>
    </w:p>
    <w:p w14:paraId="396F53FE" w14:textId="77777777" w:rsidR="00F3275C" w:rsidRDefault="00F3275C">
      <w:pPr>
        <w:jc w:val="both"/>
        <w:rPr>
          <w:rFonts w:hint="eastAsia"/>
          <w:b/>
          <w:bCs/>
        </w:rPr>
      </w:pPr>
    </w:p>
    <w:p w14:paraId="7EF60891" w14:textId="77777777" w:rsidR="00F3275C" w:rsidRDefault="00F3275C">
      <w:pPr>
        <w:jc w:val="both"/>
        <w:rPr>
          <w:rFonts w:hint="eastAsia"/>
          <w:b/>
          <w:bCs/>
        </w:rPr>
      </w:pPr>
    </w:p>
    <w:p w14:paraId="3FB3A5F3" w14:textId="77777777" w:rsidR="00F3275C" w:rsidRDefault="00F3275C">
      <w:pPr>
        <w:jc w:val="both"/>
        <w:rPr>
          <w:rFonts w:hint="eastAsia"/>
          <w:b/>
          <w:bCs/>
        </w:rPr>
      </w:pPr>
    </w:p>
    <w:p w14:paraId="69F23E1B" w14:textId="77777777" w:rsidR="00F3275C" w:rsidRDefault="00F3275C">
      <w:pPr>
        <w:jc w:val="both"/>
        <w:rPr>
          <w:rFonts w:hint="eastAsia"/>
          <w:b/>
          <w:bCs/>
        </w:rPr>
      </w:pPr>
    </w:p>
    <w:p w14:paraId="0D45820E" w14:textId="77777777" w:rsidR="00F3275C" w:rsidRDefault="00F3275C">
      <w:pPr>
        <w:jc w:val="both"/>
        <w:rPr>
          <w:rFonts w:hint="eastAsia"/>
        </w:rPr>
      </w:pPr>
    </w:p>
    <w:sectPr w:rsidR="00F3275C">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swiss"/>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64290A"/>
    <w:multiLevelType w:val="multilevel"/>
    <w:tmpl w:val="18D28A1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6CB6404B"/>
    <w:multiLevelType w:val="multilevel"/>
    <w:tmpl w:val="88A6C028"/>
    <w:lvl w:ilvl="0">
      <w:start w:val="1"/>
      <w:numFmt w:val="none"/>
      <w:suff w:val="nothing"/>
      <w:lvlText w:val=""/>
      <w:lvlJc w:val="left"/>
      <w:pPr>
        <w:ind w:left="0" w:firstLine="0"/>
      </w:pPr>
    </w:lvl>
    <w:lvl w:ilvl="1">
      <w:start w:val="1"/>
      <w:numFmt w:val="none"/>
      <w:pStyle w:val="Titre2"/>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75C"/>
    <w:rsid w:val="00CA363C"/>
    <w:rsid w:val="00F3275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79EF"/>
  <w15:docId w15:val="{B4DD6AC1-E64D-4271-9BEF-48BC9C5F9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Arial"/>
        <w:kern w:val="2"/>
        <w:szCs w:val="24"/>
        <w:lang w:val="fr-F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pPr>
    <w:rPr>
      <w:rFonts w:eastAsia="SimSun"/>
      <w:color w:val="00000A"/>
      <w:sz w:val="24"/>
    </w:rPr>
  </w:style>
  <w:style w:type="paragraph" w:styleId="Titre2">
    <w:name w:val="heading 2"/>
    <w:basedOn w:val="Titre"/>
    <w:uiPriority w:val="9"/>
    <w:unhideWhenUsed/>
    <w:qFormat/>
    <w:pPr>
      <w:numPr>
        <w:ilvl w:val="1"/>
        <w:numId w:val="1"/>
      </w:numPr>
      <w:spacing w:before="200"/>
      <w:outlineLvl w:val="1"/>
    </w:pPr>
    <w:rPr>
      <w:rFonts w:ascii="Liberation Serif" w:eastAsia="SimSun" w:hAnsi="Liberation Serif"/>
      <w:b/>
      <w:bCs/>
      <w:sz w:val="36"/>
      <w:szCs w:val="36"/>
    </w:rPr>
  </w:style>
  <w:style w:type="paragraph" w:styleId="Titre3">
    <w:name w:val="heading 3"/>
    <w:basedOn w:val="Titre"/>
    <w:uiPriority w:val="9"/>
    <w:semiHidden/>
    <w:unhideWhenUsed/>
    <w:qFormat/>
    <w:pPr>
      <w:spacing w:before="140"/>
      <w:outlineLvl w:val="2"/>
    </w:pPr>
    <w:rPr>
      <w:rFonts w:ascii="Liberation Serif" w:eastAsia="SimSun" w:hAnsi="Liberation Serif"/>
      <w:b/>
      <w:bCs/>
    </w:rPr>
  </w:style>
  <w:style w:type="paragraph" w:styleId="Titre4">
    <w:name w:val="heading 4"/>
    <w:basedOn w:val="Titre"/>
    <w:uiPriority w:val="9"/>
    <w:semiHidden/>
    <w:unhideWhenUsed/>
    <w:qFormat/>
    <w:pPr>
      <w:spacing w:before="120"/>
      <w:outlineLvl w:val="3"/>
    </w:pPr>
    <w:rPr>
      <w:rFonts w:ascii="Liberation Serif" w:eastAsia="SimSun" w:hAnsi="Liberation Serif"/>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ccentuationforte">
    <w:name w:val="Accentuation forte"/>
    <w:qFormat/>
    <w:rPr>
      <w:b/>
      <w:bCs/>
    </w:rPr>
  </w:style>
  <w:style w:type="character" w:customStyle="1" w:styleId="LienInternet">
    <w:name w:val="Lien Internet"/>
    <w:rPr>
      <w:color w:val="000080"/>
      <w:u w:val="single"/>
      <w:lang/>
    </w:rPr>
  </w:style>
  <w:style w:type="character" w:customStyle="1" w:styleId="Puces">
    <w:name w:val="Puces"/>
    <w:qFormat/>
    <w:rPr>
      <w:rFonts w:ascii="OpenSymbol" w:eastAsia="OpenSymbol" w:hAnsi="OpenSymbol" w:cs="OpenSymbol"/>
    </w:rPr>
  </w:style>
  <w:style w:type="character" w:customStyle="1" w:styleId="LienInternetvisit">
    <w:name w:val="Lien Internet visité"/>
    <w:rPr>
      <w:color w:val="800000"/>
      <w:u w:val="single"/>
      <w:lang/>
    </w:rPr>
  </w:style>
  <w:style w:type="paragraph" w:styleId="Titre">
    <w:name w:val="Title"/>
    <w:basedOn w:val="Normal"/>
    <w:next w:val="Corpsdetexte"/>
    <w:uiPriority w:val="10"/>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ontenudetableau">
    <w:name w:val="Contenu de tableau"/>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fr.wikipedia.org/wiki/Irmstet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1054</Words>
  <Characters>5797</Characters>
  <Application>Microsoft Office Word</Application>
  <DocSecurity>0</DocSecurity>
  <Lines>48</Lines>
  <Paragraphs>13</Paragraphs>
  <ScaleCrop>false</ScaleCrop>
  <Company/>
  <LinksUpToDate>false</LinksUpToDate>
  <CharactersWithSpaces>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Schertzer</dc:creator>
  <dc:description/>
  <cp:lastModifiedBy>Pierre Schertzer</cp:lastModifiedBy>
  <cp:revision>2</cp:revision>
  <dcterms:created xsi:type="dcterms:W3CDTF">2020-08-20T21:10:00Z</dcterms:created>
  <dcterms:modified xsi:type="dcterms:W3CDTF">2020-08-20T21:10:00Z</dcterms:modified>
  <dc:language>fr-FR</dc:language>
</cp:coreProperties>
</file>